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360" w:lineRule="auto"/>
        <w:jc w:val="center"/>
        <w:rPr>
          <w:rStyle w:val="17"/>
          <w:rFonts w:hint="eastAsia" w:hAnsi="宋体"/>
          <w:b/>
          <w:bCs/>
          <w:sz w:val="32"/>
          <w:szCs w:val="32"/>
          <w:lang w:eastAsia="zh-CN"/>
        </w:rPr>
      </w:pPr>
      <w:bookmarkStart w:id="0" w:name="_Toc535358169"/>
      <w:bookmarkStart w:id="1" w:name="_Toc422316759"/>
      <w:bookmarkStart w:id="2" w:name="_Toc325620724"/>
      <w:r>
        <w:rPr>
          <w:rStyle w:val="17"/>
          <w:rFonts w:hint="eastAsia" w:ascii="宋体" w:hAnsi="宋体" w:eastAsia="宋体" w:cs="宋体"/>
          <w:b/>
          <w:bCs/>
          <w:sz w:val="32"/>
          <w:szCs w:val="32"/>
          <w:lang w:eastAsia="zh-CN"/>
        </w:rPr>
        <w:t>山东经贸职业学院</w:t>
      </w:r>
      <w:r>
        <w:rPr>
          <w:rFonts w:hint="eastAsia" w:hAnsi="宋体" w:cs="宋体"/>
          <w:b/>
          <w:bCs/>
          <w:sz w:val="32"/>
          <w:szCs w:val="32"/>
          <w:lang w:val="en-US" w:eastAsia="zh-CN"/>
        </w:rPr>
        <w:t>2022年实训耗材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采购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项目</w:t>
      </w:r>
      <w:r>
        <w:rPr>
          <w:rStyle w:val="17"/>
          <w:rFonts w:hint="eastAsia" w:hAnsi="宋体"/>
          <w:b/>
          <w:bCs/>
          <w:sz w:val="32"/>
          <w:szCs w:val="32"/>
          <w:lang w:eastAsia="zh-CN"/>
        </w:rPr>
        <w:t>询价通知书</w:t>
      </w:r>
    </w:p>
    <w:p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一、项目概况</w:t>
      </w:r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本项目为山东经贸职业学院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2022年实训耗材采购项目，采用询价方式进行采购，预算金额为4.712万元，</w:t>
      </w:r>
      <w:r>
        <w:rPr>
          <w:rFonts w:hint="eastAsia" w:ascii="宋体" w:hAnsi="宋体" w:eastAsia="宋体" w:cs="宋体"/>
          <w:sz w:val="28"/>
          <w:szCs w:val="28"/>
        </w:rPr>
        <w:t>欢迎符合条件的供应商参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与报价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二、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项目内容及要求：</w:t>
      </w: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1.总体要求：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货物必须为合格产品，质量达到国家相关标准、行业标准、地方标准或者其他标准、规范，成交供应商供货时应当提供有关货物的合格证明材料等。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供应商应保证货物是全新、未使用过的合格产品（磋商文件有特殊要求的除外），并完全符合合同规定的质量、规格和性能的要求。在货物质量保证期内卖方应对由于设计、工艺或者材料的缺陷而发生的任何不足或者故障负责。所投产品应提供详细的技术资料，应有检测报告等详细资料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供应商所报价格应为含税全包价，包含提供相关服务的所有费用，合同存续期间采购人不额外支付任何费用。</w:t>
      </w:r>
    </w:p>
    <w:p>
      <w:pPr>
        <w:spacing w:after="156" w:afterLines="50" w:line="400" w:lineRule="exact"/>
        <w:ind w:firstLine="562" w:firstLineChars="200"/>
        <w:outlineLvl w:val="2"/>
        <w:rPr>
          <w:rFonts w:hint="eastAsia" w:ascii="宋体" w:hAnsi="宋体" w:eastAsia="宋体" w:cs="宋体"/>
          <w:b/>
          <w:sz w:val="28"/>
          <w:szCs w:val="28"/>
        </w:rPr>
      </w:pPr>
      <w:bookmarkStart w:id="3" w:name="_Toc6002"/>
      <w:r>
        <w:rPr>
          <w:rFonts w:hint="eastAsia" w:ascii="宋体" w:hAnsi="宋体" w:eastAsia="宋体" w:cs="宋体"/>
          <w:b/>
          <w:sz w:val="28"/>
          <w:szCs w:val="28"/>
        </w:rPr>
        <w:t>2.技术要求</w:t>
      </w:r>
      <w:bookmarkEnd w:id="3"/>
    </w:p>
    <w:tbl>
      <w:tblPr>
        <w:tblStyle w:val="10"/>
        <w:tblW w:w="8781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1247"/>
        <w:gridCol w:w="5325"/>
        <w:gridCol w:w="793"/>
        <w:gridCol w:w="709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tabs>
                <w:tab w:val="left" w:pos="6810"/>
              </w:tabs>
              <w:autoSpaceDE w:val="0"/>
              <w:autoSpaceDN w:val="0"/>
              <w:adjustRightInd w:val="0"/>
              <w:spacing w:line="300" w:lineRule="exact"/>
              <w:ind w:right="-143" w:rightChars="-51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zh-CN"/>
              </w:rPr>
              <w:t>编号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tabs>
                <w:tab w:val="left" w:pos="6810"/>
              </w:tabs>
              <w:autoSpaceDE w:val="0"/>
              <w:autoSpaceDN w:val="0"/>
              <w:adjustRightInd w:val="0"/>
              <w:spacing w:line="300" w:lineRule="exact"/>
              <w:ind w:right="-51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zh-CN"/>
              </w:rPr>
              <w:t>名称</w:t>
            </w:r>
          </w:p>
        </w:tc>
        <w:tc>
          <w:tcPr>
            <w:tcW w:w="5325" w:type="dxa"/>
            <w:noWrap w:val="0"/>
            <w:vAlign w:val="center"/>
          </w:tcPr>
          <w:p>
            <w:pPr>
              <w:tabs>
                <w:tab w:val="left" w:pos="6810"/>
              </w:tabs>
              <w:autoSpaceDE w:val="0"/>
              <w:autoSpaceDN w:val="0"/>
              <w:adjustRightInd w:val="0"/>
              <w:spacing w:line="300" w:lineRule="exact"/>
              <w:ind w:right="-51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技术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zh-CN"/>
              </w:rPr>
              <w:t>参数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及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zh-CN"/>
              </w:rPr>
              <w:t>要求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tabs>
                <w:tab w:val="left" w:pos="6810"/>
              </w:tabs>
              <w:autoSpaceDE w:val="0"/>
              <w:autoSpaceDN w:val="0"/>
              <w:adjustRightInd w:val="0"/>
              <w:spacing w:line="300" w:lineRule="exact"/>
              <w:ind w:right="-51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zh-CN"/>
              </w:rPr>
              <w:t>单位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tabs>
                <w:tab w:val="left" w:pos="6810"/>
              </w:tabs>
              <w:autoSpaceDE w:val="0"/>
              <w:autoSpaceDN w:val="0"/>
              <w:adjustRightInd w:val="0"/>
              <w:spacing w:line="300" w:lineRule="exact"/>
              <w:ind w:right="-51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zh-CN"/>
              </w:rPr>
              <w:t>数量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USB无线网卡</w:t>
            </w:r>
          </w:p>
        </w:tc>
        <w:tc>
          <w:tcPr>
            <w:tcW w:w="5325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1.尺寸（mm）:约97mm*35mm*9.5mm；</w:t>
            </w:r>
          </w:p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2.频率范围:2</w:t>
            </w:r>
            <w:r>
              <w:rPr>
                <w:rFonts w:ascii="仿宋" w:hAnsi="仿宋" w:eastAsia="仿宋" w:cs="仿宋"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4GHz/5GHz；</w:t>
            </w:r>
          </w:p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3.外置天线:有，可拆卸。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个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耳麦</w:t>
            </w:r>
          </w:p>
        </w:tc>
        <w:tc>
          <w:tcPr>
            <w:tcW w:w="5325" w:type="dxa"/>
            <w:noWrap w:val="0"/>
            <w:vAlign w:val="center"/>
          </w:tcPr>
          <w:p>
            <w:pPr>
              <w:widowControl/>
              <w:numPr>
                <w:ilvl w:val="0"/>
                <w:numId w:val="2"/>
              </w:num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物理特性:头戴式；线长大于2.8m；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无音量调节部件；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USB2.0接口；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可调节指向的鹅颈管麦克风杆≥19cm；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喇叭:具有良好的内置式独立声卡；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高保磁喇叭，直径Ø40毫米；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2声道立体声；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宽频响，频响范围18-20,000Hz；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阻抗32Ω；灵敏度（SPL)100dB±3dB；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额定功率10mW，最大功率20mW；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麦克风:咪头灵敏度：-36dB±3dB  单指向性；近讲； 降噪。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个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洗脸巾</w:t>
            </w:r>
          </w:p>
        </w:tc>
        <w:tc>
          <w:tcPr>
            <w:tcW w:w="5325" w:type="dxa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15*20cm；500抽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盒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剃须刀</w:t>
            </w:r>
          </w:p>
        </w:tc>
        <w:tc>
          <w:tcPr>
            <w:tcW w:w="5325" w:type="dxa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一次性剃须刀配膏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把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护理包</w:t>
            </w:r>
          </w:p>
        </w:tc>
        <w:tc>
          <w:tcPr>
            <w:tcW w:w="5325" w:type="dxa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化妆卸妆棉签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个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6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浴帽</w:t>
            </w:r>
          </w:p>
        </w:tc>
        <w:tc>
          <w:tcPr>
            <w:tcW w:w="5325" w:type="dxa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软塑膜装；直径22cm；材料：PE 。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顶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7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拖鞋</w:t>
            </w:r>
          </w:p>
        </w:tc>
        <w:tc>
          <w:tcPr>
            <w:tcW w:w="5325" w:type="dxa"/>
            <w:noWrap w:val="0"/>
            <w:vAlign w:val="top"/>
          </w:tcPr>
          <w:p>
            <w:pPr>
              <w:numPr>
                <w:ilvl w:val="0"/>
                <w:numId w:val="3"/>
              </w:num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鞋底厚：6.5mm；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材质：真美布防滑型；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颜色：白色；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尺码：29×11cm。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双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8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香皂</w:t>
            </w:r>
          </w:p>
        </w:tc>
        <w:tc>
          <w:tcPr>
            <w:tcW w:w="5325" w:type="dxa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15克牛皮纸进口麦麸皂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块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9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牙刷</w:t>
            </w:r>
          </w:p>
        </w:tc>
        <w:tc>
          <w:tcPr>
            <w:tcW w:w="5325" w:type="dxa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软膜100套秸秆本色瓷白软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把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10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牙膏</w:t>
            </w:r>
          </w:p>
        </w:tc>
        <w:tc>
          <w:tcPr>
            <w:tcW w:w="5325" w:type="dxa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≥6克牙膏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支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11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洗发水</w:t>
            </w:r>
          </w:p>
        </w:tc>
        <w:tc>
          <w:tcPr>
            <w:tcW w:w="5325" w:type="dxa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洗发液≥8ml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包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12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沐浴露</w:t>
            </w:r>
          </w:p>
        </w:tc>
        <w:tc>
          <w:tcPr>
            <w:tcW w:w="5325" w:type="dxa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沐浴露≥8ml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包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13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润肤露</w:t>
            </w:r>
          </w:p>
        </w:tc>
        <w:tc>
          <w:tcPr>
            <w:tcW w:w="5325" w:type="dxa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美白补水改善粗糙≥177ml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瓶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14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马桶垫</w:t>
            </w:r>
          </w:p>
        </w:tc>
        <w:tc>
          <w:tcPr>
            <w:tcW w:w="5325" w:type="dxa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无纺布材质；便携防水坐便套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个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15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梳子</w:t>
            </w:r>
          </w:p>
        </w:tc>
        <w:tc>
          <w:tcPr>
            <w:tcW w:w="5325" w:type="dxa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牛筋梳</w:t>
            </w:r>
            <w:r>
              <w:rPr>
                <w:rFonts w:ascii="仿宋" w:hAnsi="仿宋" w:eastAsia="仿宋" w:cs="仿宋"/>
                <w:sz w:val="24"/>
                <w:szCs w:val="24"/>
              </w:rPr>
              <w:t>带把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把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16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奥尔夫音乐教具</w:t>
            </w:r>
          </w:p>
        </w:tc>
        <w:tc>
          <w:tcPr>
            <w:tcW w:w="5325" w:type="dxa"/>
            <w:noWrap w:val="0"/>
            <w:vAlign w:val="top"/>
          </w:tcPr>
          <w:p>
            <w:pPr>
              <w:adjustRightInd w:val="0"/>
              <w:snapToGrid w:val="0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收纳箱、铃鼓，木制沙锤、碰铃、环保铃、木制响板、棒棒糖鼓、木制单响筒、木制双响筒、塑料沙锤、塑料沙蛋、彩虹摇铃、铝板琴、串铃、三角铁、拨浪鼓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套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17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节奏杯子</w:t>
            </w:r>
          </w:p>
        </w:tc>
        <w:tc>
          <w:tcPr>
            <w:tcW w:w="5325" w:type="dxa"/>
            <w:noWrap w:val="0"/>
            <w:vAlign w:val="top"/>
          </w:tcPr>
          <w:p>
            <w:pPr>
              <w:widowControl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450ml；多色；塑料</w:t>
            </w:r>
            <w:r>
              <w:rPr>
                <w:rFonts w:ascii="仿宋" w:hAnsi="仿宋" w:eastAsia="仿宋" w:cs="仿宋"/>
                <w:sz w:val="24"/>
                <w:szCs w:val="24"/>
              </w:rPr>
              <w:t>材质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塑料材质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个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18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绘本</w:t>
            </w:r>
          </w:p>
        </w:tc>
        <w:tc>
          <w:tcPr>
            <w:tcW w:w="5325" w:type="dxa"/>
            <w:noWrap w:val="0"/>
            <w:vAlign w:val="center"/>
          </w:tcPr>
          <w:p>
            <w:pPr>
              <w:widowControl/>
              <w:spacing w:line="300" w:lineRule="exact"/>
              <w:ind w:left="240" w:hanging="240" w:hangingChars="100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3—6岁幼儿绘本 </w:t>
            </w:r>
          </w:p>
          <w:p>
            <w:pPr>
              <w:pStyle w:val="2"/>
              <w:spacing w:line="300" w:lineRule="exact"/>
              <w:jc w:val="both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1.《冰冰与波波》推拉书</w:t>
            </w: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 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4册</w:t>
            </w:r>
            <w:r>
              <w:rPr>
                <w:rFonts w:ascii="仿宋" w:hAnsi="仿宋" w:eastAsia="仿宋"/>
                <w:sz w:val="24"/>
                <w:szCs w:val="24"/>
              </w:rPr>
              <w:t>（ISBN编号：9787551136778出版社名称：花山文艺出版社包括：《忙碌的一天》、《躲猫猫》、《一起睡觉》、《游戏时间》）</w:t>
            </w:r>
          </w:p>
          <w:p>
            <w:pPr>
              <w:pStyle w:val="2"/>
              <w:spacing w:line="300" w:lineRule="exact"/>
              <w:jc w:val="both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2.《猜猜我是谁》系列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 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4册</w:t>
            </w:r>
            <w:r>
              <w:rPr>
                <w:rFonts w:ascii="仿宋" w:hAnsi="仿宋" w:eastAsia="仿宋"/>
                <w:sz w:val="24"/>
                <w:szCs w:val="24"/>
              </w:rPr>
              <w:t>（ISBN编号：９７８７５４１７４５６８３出版社名称：未来出版社包括：《猜猜我是谁？》、《猜猜动物园》、《我长大了》、《准备好了吗？》）</w:t>
            </w:r>
          </w:p>
          <w:p>
            <w:pPr>
              <w:pStyle w:val="2"/>
              <w:spacing w:line="300" w:lineRule="exact"/>
              <w:jc w:val="both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3.《和小鸡球球一起玩》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6册</w:t>
            </w:r>
            <w:r>
              <w:rPr>
                <w:rFonts w:ascii="仿宋" w:hAnsi="仿宋" w:eastAsia="仿宋"/>
                <w:sz w:val="24"/>
                <w:szCs w:val="24"/>
              </w:rPr>
              <w:t>（ISBN编号：9787556012588出版社名称：长江少年儿童出版社包括：《藏猫猫，藏猫猫，哇！》、《答应得真好》、《叽叽叽，是谁呀？》、《我爱妈妈》、《小蝴蝶，等一等》、《一家人真好》）</w:t>
            </w:r>
          </w:p>
          <w:p>
            <w:pPr>
              <w:pStyle w:val="2"/>
              <w:spacing w:line="300" w:lineRule="exact"/>
              <w:jc w:val="both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4.《听，什么声音？》原声触摸发声书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 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6册</w:t>
            </w:r>
            <w:r>
              <w:rPr>
                <w:rFonts w:ascii="仿宋" w:hAnsi="仿宋" w:eastAsia="仿宋"/>
                <w:sz w:val="24"/>
                <w:szCs w:val="24"/>
              </w:rPr>
              <w:t>（ISBN编号：９７８７５１１１２９０５５出版社名称：中国环境出版社包括：《动物园》、《农场》、《大自然》、《交通工具》、《音乐》、《乐器》）</w:t>
            </w:r>
          </w:p>
          <w:p>
            <w:pPr>
              <w:pStyle w:val="2"/>
              <w:spacing w:line="300" w:lineRule="exact"/>
              <w:jc w:val="both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5.《宫西达也恐龙系列绘本》全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７册</w:t>
            </w:r>
            <w:r>
              <w:rPr>
                <w:rFonts w:ascii="仿宋" w:hAnsi="仿宋" w:eastAsia="仿宋"/>
                <w:sz w:val="24"/>
                <w:szCs w:val="24"/>
              </w:rPr>
              <w:t>（ISBN编号：９７８７５３９１４４５２８出版社名称：二十一世纪出版社包括：《你看起来好像很好吃》、《我是霸王龙》、《你真好》、《永远永远爱你》、《遇到你，真好》、《我爱你》、《最爱的，是我》）</w:t>
            </w:r>
          </w:p>
          <w:p>
            <w:pPr>
              <w:pStyle w:val="2"/>
              <w:spacing w:line="300" w:lineRule="exact"/>
              <w:jc w:val="both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6.《鼠小弟的小背心》（全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8册</w:t>
            </w:r>
            <w:r>
              <w:rPr>
                <w:rFonts w:ascii="仿宋" w:hAnsi="仿宋" w:eastAsia="仿宋"/>
                <w:sz w:val="24"/>
                <w:szCs w:val="24"/>
              </w:rPr>
              <w:t>）（《鼠小弟的小背心》《鼠小弟的又一件小背心》《鼠小弟和鼠小妹》《又来了！鼠小弟的小背心》《鼠小弟的生日》《换换吧！鼠小弟的小背心》《只能是红的！鼠小弟的小背心》《鼠小弟的圣诞节》）</w:t>
            </w:r>
          </w:p>
          <w:p>
            <w:pPr>
              <w:pStyle w:val="2"/>
              <w:spacing w:line="300" w:lineRule="exact"/>
              <w:jc w:val="both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7.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 </w:t>
            </w:r>
            <w:r>
              <w:rPr>
                <w:rFonts w:ascii="仿宋" w:hAnsi="仿宋" w:eastAsia="仿宋"/>
                <w:sz w:val="24"/>
                <w:szCs w:val="24"/>
              </w:rPr>
              <w:t>《偷偷看里面》第一辑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 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4册</w:t>
            </w:r>
            <w:r>
              <w:rPr>
                <w:rFonts w:ascii="仿宋" w:hAnsi="仿宋" w:eastAsia="仿宋"/>
                <w:sz w:val="24"/>
                <w:szCs w:val="24"/>
              </w:rPr>
              <w:t>（ISBN编号：9787544857147出版社名称：接力出版社；包括：《动物的家》、《动物园》、《农场》、《夜晚》）</w:t>
            </w:r>
          </w:p>
          <w:p>
            <w:pPr>
              <w:pStyle w:val="2"/>
              <w:spacing w:line="300" w:lineRule="exact"/>
              <w:jc w:val="both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8.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 </w:t>
            </w:r>
            <w:r>
              <w:rPr>
                <w:rFonts w:ascii="仿宋" w:hAnsi="仿宋" w:eastAsia="仿宋"/>
                <w:sz w:val="24"/>
                <w:szCs w:val="24"/>
              </w:rPr>
              <w:t>《超级想象力训练》系列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 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4册</w:t>
            </w:r>
            <w:r>
              <w:rPr>
                <w:rFonts w:ascii="仿宋" w:hAnsi="仿宋" w:eastAsia="仿宋"/>
                <w:sz w:val="24"/>
                <w:szCs w:val="24"/>
              </w:rPr>
              <w:t>（ISBN编号：９７８７５４１４８３４５５出版社名称：晨光出版社包括：《爱吃胡萝卜的猫》、《长牛角的鹿》、《站在树上的企鹅》、《会飞的马》）</w:t>
            </w:r>
          </w:p>
          <w:p>
            <w:pPr>
              <w:pStyle w:val="2"/>
              <w:spacing w:line="300" w:lineRule="exact"/>
              <w:jc w:val="both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9.《小鸡球球》洞洞认知书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 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4册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 </w:t>
            </w:r>
            <w:r>
              <w:rPr>
                <w:rFonts w:ascii="仿宋" w:hAnsi="仿宋" w:eastAsia="仿宋"/>
                <w:sz w:val="24"/>
                <w:szCs w:val="24"/>
              </w:rPr>
              <w:t>（ISBN编号：9787556051267出版社名称：长江少年儿童出版社包括：《数字》、《大小》、《颜色》、《形状》）</w:t>
            </w:r>
          </w:p>
          <w:p>
            <w:pPr>
              <w:pStyle w:val="2"/>
              <w:spacing w:line="300" w:lineRule="exact"/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10.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3册</w:t>
            </w:r>
            <w:r>
              <w:rPr>
                <w:rFonts w:ascii="仿宋" w:hAnsi="仿宋" w:eastAsia="仿宋"/>
                <w:sz w:val="24"/>
                <w:szCs w:val="24"/>
              </w:rPr>
              <w:t>《海底的秘密》（ISBN编号：９７８７５４３４７０７５０出版社名称：河北教育出版社）、《好饿的毛毛虫》（ISBN编号：９７８７５３３２９７０２２出版社名称：明天出版社）、《谁藏起来了》（ISBN编号：9787539130507出版社名称：二十一世纪出版社）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本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19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绘画套装</w:t>
            </w:r>
          </w:p>
        </w:tc>
        <w:tc>
          <w:tcPr>
            <w:tcW w:w="5325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含水彩笔、铝管丙烯、油画棒、水粉、彩铅、辅助工具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套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积木套装</w:t>
            </w:r>
          </w:p>
        </w:tc>
        <w:tc>
          <w:tcPr>
            <w:tcW w:w="5325" w:type="dxa"/>
            <w:noWrap w:val="0"/>
            <w:vAlign w:val="center"/>
          </w:tcPr>
          <w:p>
            <w:pPr>
              <w:widowControl/>
              <w:ind w:left="240" w:hanging="240" w:hangingChars="100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水性漆木制玩具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桶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21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帐篷</w:t>
            </w:r>
          </w:p>
        </w:tc>
        <w:tc>
          <w:tcPr>
            <w:tcW w:w="5325" w:type="dxa"/>
            <w:noWrap w:val="0"/>
            <w:vAlign w:val="center"/>
          </w:tcPr>
          <w:p>
            <w:pPr>
              <w:widowControl/>
              <w:ind w:left="240" w:hanging="240" w:hangingChars="100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幼儿布制帐篷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个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22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收纳筐</w:t>
            </w:r>
          </w:p>
        </w:tc>
        <w:tc>
          <w:tcPr>
            <w:tcW w:w="5325" w:type="dxa"/>
            <w:noWrap w:val="0"/>
            <w:vAlign w:val="center"/>
          </w:tcPr>
          <w:p>
            <w:pPr>
              <w:widowControl/>
              <w:ind w:left="240" w:hanging="240" w:hangingChars="100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≥24L（硬塑料材质）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个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23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收纳箱</w:t>
            </w:r>
          </w:p>
        </w:tc>
        <w:tc>
          <w:tcPr>
            <w:tcW w:w="5325" w:type="dxa"/>
            <w:noWrap w:val="0"/>
            <w:vAlign w:val="center"/>
          </w:tcPr>
          <w:p>
            <w:pPr>
              <w:widowControl/>
              <w:ind w:left="240" w:hanging="240" w:hangingChars="100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长58cm*宽38cm*高30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个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24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沙盘</w:t>
            </w:r>
          </w:p>
        </w:tc>
        <w:tc>
          <w:tcPr>
            <w:tcW w:w="5325" w:type="dxa"/>
            <w:noWrap w:val="0"/>
            <w:vAlign w:val="center"/>
          </w:tcPr>
          <w:p>
            <w:pPr>
              <w:widowControl/>
              <w:ind w:left="240" w:hanging="240" w:hangingChars="100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儿童版心理咨询沙盘沙具；（实心松木支架：高62cm,长72cm，宽57cm、标准沙盘：高7cm，长72cm，宽57cm；天然海沙20斤；沙盘玩具：9大类（人物类13组、建筑类5组、动物类10组、居家生活类7组、交通类：海陆空各一组、食物果实类：水果、蔬菜、中西餐各一组、石头贝壳类各一组、植物类：花、草、树木各一组、数字及其他装饰类，共计57小类））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套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25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USB-C转接头</w:t>
            </w:r>
          </w:p>
        </w:tc>
        <w:tc>
          <w:tcPr>
            <w:tcW w:w="5325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苹果笔记本转换器Mac Book Pro/Air拓扩展坞连网线VGA投影仪HUB DVI+DP+VGA+HDMI四口同屏，苹果Mac mini主机 imac一体机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根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26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工具柜</w:t>
            </w:r>
          </w:p>
        </w:tc>
        <w:tc>
          <w:tcPr>
            <w:tcW w:w="5325" w:type="dxa"/>
            <w:noWrap w:val="0"/>
            <w:vAlign w:val="center"/>
          </w:tcPr>
          <w:p>
            <w:pPr>
              <w:snapToGrid w:val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单门不锈钢（304）挂钩：≥3；</w:t>
            </w:r>
          </w:p>
          <w:p>
            <w:pPr>
              <w:snapToGrid w:val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晾干：≥3；</w:t>
            </w:r>
          </w:p>
          <w:p>
            <w:pPr>
              <w:snapToGrid w:val="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规格：≥1800*400*400mm。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组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27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鼠标垫</w:t>
            </w:r>
          </w:p>
        </w:tc>
        <w:tc>
          <w:tcPr>
            <w:tcW w:w="5325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尺寸：≥300*250mm；</w:t>
            </w:r>
          </w:p>
          <w:p>
            <w:pPr>
              <w:widowControl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厚度≥4mm；底部防滑；锁边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个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280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28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桌标</w:t>
            </w:r>
          </w:p>
        </w:tc>
        <w:tc>
          <w:tcPr>
            <w:tcW w:w="5325" w:type="dxa"/>
            <w:noWrap w:val="0"/>
            <w:vAlign w:val="center"/>
          </w:tcPr>
          <w:p>
            <w:pPr>
              <w:widowControl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材质：亚克力或不锈钢，平面或立体L型，可方便固定在桌面，并有文明提示用语（安全时时记，卫生时时讲）≥7CM*10CM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个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253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707" w:type="dxa"/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29</w:t>
            </w:r>
          </w:p>
        </w:tc>
        <w:tc>
          <w:tcPr>
            <w:tcW w:w="124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实训室记录单</w:t>
            </w:r>
          </w:p>
        </w:tc>
        <w:tc>
          <w:tcPr>
            <w:tcW w:w="5325" w:type="dxa"/>
            <w:noWrap w:val="0"/>
            <w:vAlign w:val="center"/>
          </w:tcPr>
          <w:p>
            <w:pPr>
              <w:widowControl/>
              <w:ind w:left="240" w:hanging="240" w:hangingChars="100"/>
              <w:jc w:val="left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实验室使用记录单3000本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A4幅面，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100页/本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）、</w:t>
            </w:r>
          </w:p>
          <w:p>
            <w:pPr>
              <w:widowControl/>
              <w:ind w:left="240" w:hanging="240" w:hangingChars="100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教师登记表3000本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A4幅面，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100页/本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），样式参考表后所附图片</w:t>
            </w:r>
          </w:p>
        </w:tc>
        <w:tc>
          <w:tcPr>
            <w:tcW w:w="793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本</w:t>
            </w:r>
          </w:p>
        </w:tc>
        <w:tc>
          <w:tcPr>
            <w:tcW w:w="709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6000</w:t>
            </w:r>
          </w:p>
        </w:tc>
      </w:tr>
    </w:tbl>
    <w:p>
      <w:pPr>
        <w:pStyle w:val="2"/>
        <w:rPr>
          <w:rFonts w:hint="eastAsia"/>
        </w:rPr>
      </w:pPr>
      <w:r>
        <w:drawing>
          <wp:inline distT="0" distB="0" distL="114300" distR="114300">
            <wp:extent cx="3889375" cy="2849880"/>
            <wp:effectExtent l="0" t="0" r="158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02075" cy="2639695"/>
            <wp:effectExtent l="0" t="0" r="317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  <w:r>
        <w:drawing>
          <wp:inline distT="0" distB="0" distL="114300" distR="114300">
            <wp:extent cx="2898140" cy="4155440"/>
            <wp:effectExtent l="0" t="0" r="1651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400" w:lineRule="exact"/>
        <w:ind w:firstLine="562" w:firstLineChars="200"/>
        <w:outlineLvl w:val="2"/>
        <w:rPr>
          <w:rFonts w:hint="eastAsia" w:ascii="宋体" w:hAnsi="宋体" w:eastAsia="宋体" w:cs="宋体"/>
          <w:b/>
          <w:sz w:val="28"/>
          <w:szCs w:val="28"/>
        </w:rPr>
      </w:pPr>
      <w:bookmarkStart w:id="4" w:name="_Toc22571"/>
      <w:bookmarkStart w:id="5" w:name="_Toc37316637"/>
      <w:r>
        <w:rPr>
          <w:rFonts w:hint="eastAsia" w:ascii="宋体" w:hAnsi="宋体" w:eastAsia="宋体" w:cs="宋体"/>
          <w:b/>
          <w:sz w:val="28"/>
          <w:szCs w:val="28"/>
        </w:rPr>
        <w:t>3.商务条件</w:t>
      </w:r>
      <w:bookmarkEnd w:id="4"/>
      <w:bookmarkEnd w:id="5"/>
    </w:p>
    <w:p>
      <w:pPr>
        <w:autoSpaceDE w:val="0"/>
        <w:autoSpaceDN w:val="0"/>
        <w:adjustRightIn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★</w:t>
      </w:r>
      <w:r>
        <w:rPr>
          <w:rFonts w:hint="eastAsia" w:ascii="宋体" w:hAnsi="宋体" w:eastAsia="宋体" w:cs="宋体"/>
          <w:kern w:val="0"/>
          <w:sz w:val="28"/>
          <w:szCs w:val="28"/>
        </w:rPr>
        <w:t>3.1交付时间：签订合同后20个工作日内交付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autoSpaceDE w:val="0"/>
        <w:autoSpaceDN w:val="0"/>
        <w:adjustRightIn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3.2交付地点：山东经贸职业学院，具体由采购人指定。</w:t>
      </w:r>
    </w:p>
    <w:p>
      <w:pPr>
        <w:autoSpaceDE w:val="0"/>
        <w:autoSpaceDN w:val="0"/>
        <w:adjustRightIn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3.3</w:t>
      </w:r>
      <w:r>
        <w:rPr>
          <w:rFonts w:hint="eastAsia" w:ascii="宋体" w:hAnsi="宋体" w:eastAsia="宋体" w:cs="宋体"/>
          <w:sz w:val="28"/>
          <w:szCs w:val="28"/>
        </w:rPr>
        <w:t>质量保证期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3.3.1质量质保期：符合国家主管部门或者行业标准规定并在合同中约定，供应商亦可提报更长的质保期。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3.3.2质量保证期内，如果证实货物是有缺陷的，包括潜在的缺陷或者使用不符合要求的材料等，成交供应商应立即免费维修或者更换有缺陷的货物或者部件，保证达到合同规定的技术以及性能要求。如果成交供应商在收到通知后5天内没有弥补缺陷，采购人可自行采取必要的补救措施，但风险和费用由成交供应商承担，采购人同时保留通过法律途径进行索赔的权利。</w:t>
      </w:r>
    </w:p>
    <w:p>
      <w:pPr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3.4售后服务：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3.4.1成交供应商应提供及时周到的售后服务。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3.4.2成交供应商免费为采购人提供中文操作手册并培训操作人员，其中包括讲解产品的结构以及原理、产品的使用以及维护保养，直至操作人员能够独立的操作使用。      </w:t>
      </w:r>
    </w:p>
    <w:p>
      <w:pPr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3.5验收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3.5.1货物运抵现场后，采购人将对货物数量、质量、规格等进行检验。如发现货物名称、型号规格与采购文件、响应文件、合同不符，采购人有权限根据检验结果要求供应商立即更换或者提出索赔要求，否则采购人有权终止合同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3.5.2采购人应对货物的数量、质量、规格、性能等进行详细而全面的检验。由采购人组成的验收小组签署验收单。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★</w:t>
      </w:r>
      <w:r>
        <w:rPr>
          <w:rFonts w:hint="eastAsia" w:ascii="宋体" w:hAnsi="宋体" w:eastAsia="宋体" w:cs="宋体"/>
          <w:kern w:val="0"/>
          <w:sz w:val="28"/>
          <w:szCs w:val="28"/>
        </w:rPr>
        <w:t>3.6付款方式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</w:rPr>
        <w:t>3.6.1合同签订，全部工作保质保量完成并验收合格后，一次性付清合同款项。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注：上述要求以及标注中</w:t>
      </w:r>
      <w:r>
        <w:rPr>
          <w:rFonts w:hint="eastAsia" w:hAnsi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带“★”条款为实质性条款，供应商必须按照</w:t>
      </w:r>
      <w:r>
        <w:rPr>
          <w:rFonts w:hint="eastAsia" w:hAnsi="宋体" w:cs="宋体"/>
          <w:sz w:val="28"/>
          <w:szCs w:val="28"/>
          <w:lang w:eastAsia="zh-CN"/>
        </w:rPr>
        <w:t>本</w:t>
      </w:r>
      <w:r>
        <w:rPr>
          <w:rFonts w:hint="eastAsia" w:ascii="宋体" w:hAnsi="宋体" w:eastAsia="宋体" w:cs="宋体"/>
          <w:sz w:val="28"/>
          <w:szCs w:val="28"/>
        </w:rPr>
        <w:t>文件的要求做出实质性响应。</w:t>
      </w:r>
    </w:p>
    <w:p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宋体"/>
          <w:bCs w:val="0"/>
          <w:sz w:val="28"/>
          <w:szCs w:val="28"/>
          <w:lang w:eastAsia="zh-CN"/>
        </w:rPr>
        <w:t>四</w:t>
      </w:r>
      <w:r>
        <w:rPr>
          <w:rStyle w:val="13"/>
          <w:rFonts w:hint="eastAsia" w:ascii="宋体" w:hAnsi="宋体" w:eastAsia="宋体" w:cs="宋体"/>
          <w:bCs w:val="0"/>
          <w:sz w:val="28"/>
          <w:szCs w:val="28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报价文件的制作：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响应文件应包括：</w:t>
      </w:r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hAnsi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8"/>
          <w:szCs w:val="28"/>
        </w:rPr>
        <w:t>报价一览表（放在报价文件第一页）；</w:t>
      </w:r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2.报价明细表；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3.具有统一社会信用代码的营业执照副本、基本账户银行开户许可证；</w:t>
      </w:r>
    </w:p>
    <w:p>
      <w:pPr>
        <w:pStyle w:val="16"/>
        <w:ind w:left="641" w:leftChars="200" w:hanging="81" w:hangingChars="29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符合《中华人民共和国政府采购法》第二十二条规定的承诺</w:t>
      </w:r>
      <w:r>
        <w:rPr>
          <w:rFonts w:hint="eastAsia" w:cs="宋体"/>
          <w:b w:val="0"/>
          <w:bCs w:val="0"/>
          <w:sz w:val="28"/>
          <w:szCs w:val="28"/>
          <w:lang w:eastAsia="zh-CN"/>
        </w:rPr>
        <w:t>书；</w:t>
      </w:r>
    </w:p>
    <w:p>
      <w:pPr>
        <w:pStyle w:val="16"/>
        <w:ind w:left="641" w:leftChars="200" w:hanging="81" w:hangingChars="29"/>
        <w:rPr>
          <w:rStyle w:val="20"/>
          <w:rFonts w:hint="eastAsia" w:ascii="宋体" w:hAnsi="宋体" w:eastAsia="宋体" w:cs="宋体"/>
          <w:sz w:val="28"/>
          <w:szCs w:val="28"/>
        </w:rPr>
      </w:pPr>
      <w:r>
        <w:rPr>
          <w:rFonts w:hint="eastAsia" w:hAnsi="宋体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</w:rPr>
        <w:t>.</w:t>
      </w:r>
      <w:r>
        <w:rPr>
          <w:rStyle w:val="20"/>
          <w:rFonts w:hint="eastAsia" w:ascii="宋体" w:hAnsi="宋体" w:eastAsia="宋体" w:cs="宋体"/>
          <w:sz w:val="28"/>
          <w:szCs w:val="28"/>
        </w:rPr>
        <w:t>在经营活动中没有重大违法记录的书面声明。</w:t>
      </w:r>
    </w:p>
    <w:p>
      <w:pPr>
        <w:tabs>
          <w:tab w:val="left" w:pos="828"/>
          <w:tab w:val="left" w:pos="945"/>
        </w:tabs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hAnsi="宋体" w:cs="宋体"/>
          <w:sz w:val="28"/>
          <w:szCs w:val="28"/>
          <w:lang w:val="en-US" w:eastAsia="zh-CN"/>
        </w:rPr>
        <w:t>6.</w:t>
      </w:r>
      <w:r>
        <w:rPr>
          <w:rFonts w:hint="eastAsia" w:ascii="宋体" w:hAnsi="宋体" w:eastAsia="宋体" w:cs="宋体"/>
          <w:sz w:val="28"/>
          <w:szCs w:val="28"/>
          <w:lang w:val="zh-CN"/>
        </w:rPr>
        <w:t>具备履行本项目合同所必需的设备和专业技术能力的声明函</w:t>
      </w:r>
      <w:r>
        <w:rPr>
          <w:rFonts w:hint="eastAsia" w:hAnsi="宋体" w:cs="宋体"/>
          <w:sz w:val="28"/>
          <w:szCs w:val="28"/>
          <w:lang w:val="zh-CN"/>
        </w:rPr>
        <w:t>；</w:t>
      </w:r>
    </w:p>
    <w:p>
      <w:pPr>
        <w:tabs>
          <w:tab w:val="left" w:pos="828"/>
          <w:tab w:val="left" w:pos="945"/>
        </w:tabs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hAnsi="宋体" w:cs="宋体"/>
          <w:sz w:val="28"/>
          <w:szCs w:val="28"/>
          <w:lang w:val="en-US" w:eastAsia="zh-CN"/>
        </w:rPr>
        <w:t>7.</w:t>
      </w:r>
      <w:r>
        <w:rPr>
          <w:rFonts w:hint="eastAsia" w:ascii="宋体" w:hAnsi="宋体" w:eastAsia="宋体" w:cs="宋体"/>
          <w:sz w:val="28"/>
          <w:szCs w:val="28"/>
        </w:rPr>
        <w:t>供应商认为需要提交的其它资料。</w:t>
      </w:r>
    </w:p>
    <w:p>
      <w:pPr>
        <w:pStyle w:val="2"/>
        <w:ind w:firstLine="562" w:firstLineChars="200"/>
        <w:rPr>
          <w:rFonts w:hint="eastAsia" w:ascii="宋体" w:hAnsi="宋体" w:eastAsia="宋体" w:cs="宋体"/>
          <w:b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eastAsia="zh-CN"/>
        </w:rPr>
        <w:t>以上材料需提供加盖单位公章的原件扫描件。</w:t>
      </w:r>
    </w:p>
    <w:p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五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、评审办法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在满足</w:t>
      </w:r>
      <w:r>
        <w:rPr>
          <w:rFonts w:hint="eastAsia" w:hAnsi="宋体" w:cs="宋体"/>
          <w:sz w:val="28"/>
          <w:szCs w:val="28"/>
          <w:lang w:eastAsia="zh-CN"/>
        </w:rPr>
        <w:t>本文件</w:t>
      </w:r>
      <w:r>
        <w:rPr>
          <w:rFonts w:hint="eastAsia" w:ascii="宋体" w:hAnsi="宋体" w:eastAsia="宋体" w:cs="宋体"/>
          <w:sz w:val="28"/>
          <w:szCs w:val="28"/>
        </w:rPr>
        <w:t>询价要求的前提下，低价成交，报价不得超过预算控制价</w:t>
      </w:r>
      <w:r>
        <w:rPr>
          <w:rFonts w:hint="eastAsia" w:hAnsi="宋体" w:cs="宋体"/>
          <w:sz w:val="28"/>
          <w:szCs w:val="28"/>
          <w:lang w:val="en-US" w:eastAsia="zh-CN"/>
        </w:rPr>
        <w:t>4.712万元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六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、时间安排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请供应商于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 xml:space="preserve"> 202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月</w:t>
      </w:r>
      <w:r>
        <w:rPr>
          <w:rFonts w:hint="eastAsia" w:hAnsi="宋体" w:cs="宋体"/>
          <w:color w:val="000000"/>
          <w:sz w:val="28"/>
          <w:szCs w:val="28"/>
          <w:lang w:val="en-US" w:eastAsia="zh-CN"/>
        </w:rPr>
        <w:t>12</w:t>
      </w:r>
      <w:r>
        <w:rPr>
          <w:rFonts w:hint="eastAsia" w:ascii="宋体" w:hAnsi="宋体" w:eastAsia="宋体" w:cs="宋体"/>
          <w:sz w:val="28"/>
          <w:szCs w:val="28"/>
        </w:rPr>
        <w:t>日下午17:00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前将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报名信息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及报价材料原件扫描件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发送邮箱至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000000"/>
          <w:sz w:val="28"/>
          <w:szCs w:val="28"/>
        </w:rPr>
        <w:instrText xml:space="preserve"> HYPERLINK "mailto:2829157421@qq.com" </w:instrText>
      </w:r>
      <w:r>
        <w:rPr>
          <w:rFonts w:hint="eastAsia" w:ascii="宋体" w:hAnsi="宋体" w:eastAsia="宋体" w:cs="宋体"/>
          <w:color w:val="000000"/>
          <w:sz w:val="28"/>
          <w:szCs w:val="28"/>
        </w:rPr>
        <w:fldChar w:fldCharType="separate"/>
      </w:r>
      <w:r>
        <w:rPr>
          <w:rStyle w:val="14"/>
          <w:rFonts w:hint="eastAsia" w:ascii="宋体" w:hAnsi="宋体" w:eastAsia="宋体" w:cs="宋体"/>
          <w:sz w:val="28"/>
          <w:szCs w:val="28"/>
        </w:rPr>
        <w:t>2829157421@qq.com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，</w:t>
      </w:r>
      <w:bookmarkStart w:id="6" w:name="_GoBack"/>
      <w:bookmarkEnd w:id="6"/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邮件标题写明项目名称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。</w:t>
      </w:r>
    </w:p>
    <w:p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eastAsia="zh-CN"/>
        </w:rPr>
        <w:t>七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、联系方式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报名电话：0536-2600159  王老师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报名邮箱：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000000"/>
          <w:sz w:val="28"/>
          <w:szCs w:val="28"/>
        </w:rPr>
        <w:instrText xml:space="preserve"> HYPERLINK "mailto:2829157421@qq.com" </w:instrText>
      </w:r>
      <w:r>
        <w:rPr>
          <w:rFonts w:hint="eastAsia" w:ascii="宋体" w:hAnsi="宋体" w:eastAsia="宋体" w:cs="宋体"/>
          <w:color w:val="000000"/>
          <w:sz w:val="28"/>
          <w:szCs w:val="28"/>
        </w:rPr>
        <w:fldChar w:fldCharType="separate"/>
      </w:r>
      <w:r>
        <w:rPr>
          <w:rStyle w:val="14"/>
          <w:rFonts w:hint="eastAsia" w:ascii="宋体" w:hAnsi="宋体" w:eastAsia="宋体" w:cs="宋体"/>
          <w:sz w:val="28"/>
          <w:szCs w:val="28"/>
        </w:rPr>
        <w:t>2829157421@qq.com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color w:val="000000"/>
          <w:sz w:val="28"/>
          <w:szCs w:val="28"/>
        </w:rPr>
        <w:t xml:space="preserve"> （报名需注明报名项目、单位名称、联系人姓名及电话）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联系地址：山东省潍坊市潍城区青年路2798号山东经贸职业学院</w:t>
      </w:r>
    </w:p>
    <w:bookmarkEnd w:id="0"/>
    <w:bookmarkEnd w:id="1"/>
    <w:bookmarkEnd w:id="2"/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br w:type="page"/>
      </w:r>
    </w:p>
    <w:p>
      <w:pPr>
        <w:pStyle w:val="16"/>
        <w:numPr>
          <w:ilvl w:val="0"/>
          <w:numId w:val="0"/>
        </w:numPr>
        <w:rPr>
          <w:rFonts w:hint="eastAsia" w:ascii="仿宋" w:hAnsi="仿宋" w:eastAsia="仿宋" w:cs="仿宋"/>
          <w:b/>
          <w:bCs w:val="0"/>
          <w:sz w:val="28"/>
          <w:szCs w:val="28"/>
        </w:rPr>
      </w:pPr>
      <w:r>
        <w:rPr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  <w:t>附件：</w:t>
      </w:r>
      <w:r>
        <w:rPr>
          <w:rFonts w:hint="eastAsia" w:ascii="仿宋" w:hAnsi="仿宋" w:eastAsia="仿宋" w:cs="仿宋"/>
          <w:b/>
          <w:bCs w:val="0"/>
          <w:sz w:val="28"/>
          <w:szCs w:val="28"/>
        </w:rPr>
        <w:t>响应文件相关格式</w:t>
      </w:r>
    </w:p>
    <w:p>
      <w:pPr>
        <w:rPr>
          <w:rFonts w:hint="eastAsia" w:ascii="仿宋_GB2312" w:eastAsia="仿宋_GB2312"/>
          <w:b/>
          <w:bCs w:val="0"/>
          <w:sz w:val="28"/>
          <w:lang w:eastAsia="zh-CN"/>
        </w:rPr>
      </w:pPr>
      <w:r>
        <w:rPr>
          <w:rFonts w:hint="eastAsia" w:ascii="仿宋_GB2312" w:eastAsia="仿宋_GB2312"/>
          <w:b/>
          <w:bCs w:val="0"/>
          <w:sz w:val="28"/>
          <w:lang w:eastAsia="zh-CN"/>
        </w:rPr>
        <w:t>附件一：</w:t>
      </w:r>
    </w:p>
    <w:p>
      <w:pPr>
        <w:pStyle w:val="16"/>
        <w:ind w:left="0" w:leftChars="0" w:firstLine="0" w:firstLineChars="0"/>
        <w:jc w:val="center"/>
        <w:rPr>
          <w:rFonts w:hint="eastAsia" w:ascii="仿宋" w:hAnsi="仿宋" w:eastAsia="仿宋" w:cs="仿宋"/>
          <w:b/>
          <w:bCs/>
          <w:szCs w:val="28"/>
        </w:rPr>
      </w:pPr>
      <w:r>
        <w:rPr>
          <w:rFonts w:hint="eastAsia" w:ascii="仿宋" w:hAnsi="仿宋" w:eastAsia="仿宋" w:cs="仿宋"/>
          <w:b/>
          <w:bCs/>
          <w:szCs w:val="28"/>
        </w:rPr>
        <w:t>符合《中华人民共和国政府采购法》第二十二条规定的承诺书</w: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Cs/>
          <w:sz w:val="24"/>
          <w:u w:val="single"/>
        </w:rPr>
        <w:t> （采购人名称） </w:t>
      </w:r>
      <w:r>
        <w:rPr>
          <w:rFonts w:hint="eastAsia" w:ascii="仿宋" w:hAnsi="仿宋" w:eastAsia="仿宋" w:cs="仿宋"/>
          <w:sz w:val="24"/>
        </w:rPr>
        <w:t xml:space="preserve">： </w:t>
      </w:r>
    </w:p>
    <w:p>
      <w:pPr>
        <w:spacing w:line="560" w:lineRule="exact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根据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</w:t>
      </w:r>
      <w:r>
        <w:rPr>
          <w:rFonts w:hint="eastAsia" w:ascii="仿宋" w:hAnsi="仿宋" w:eastAsia="仿宋" w:cs="仿宋"/>
          <w:sz w:val="24"/>
        </w:rPr>
        <w:t>项目（项目编号：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</w:rPr>
        <w:t xml:space="preserve">）采购文件的要求， 我方在参与投标前已详细阅读并根据要求作出以下承诺： </w:t>
      </w:r>
    </w:p>
    <w:p>
      <w:pPr>
        <w:spacing w:line="560" w:lineRule="exact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（一）具有独立承担民事责任的能力； </w:t>
      </w:r>
    </w:p>
    <w:p>
      <w:pPr>
        <w:spacing w:line="560" w:lineRule="exact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（二）具有良好的商业信誉和健全的财务会计制度； </w:t>
      </w:r>
    </w:p>
    <w:p>
      <w:pPr>
        <w:spacing w:line="560" w:lineRule="exact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（三）具有履行合同所必需的设备和专业技术能力； </w:t>
      </w:r>
    </w:p>
    <w:p>
      <w:pPr>
        <w:spacing w:line="560" w:lineRule="exact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（四）有依法缴纳税收和社会保障资金的良好记录； </w:t>
      </w:r>
    </w:p>
    <w:p>
      <w:pPr>
        <w:spacing w:line="560" w:lineRule="exact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（五）参加政府采购活动前三年内，在经营活动中没有重大违法记录； </w:t>
      </w:r>
    </w:p>
    <w:p>
      <w:pPr>
        <w:spacing w:line="560" w:lineRule="exact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（六）法律、行政法规规定的其他条件。 </w:t>
      </w:r>
    </w:p>
    <w:p>
      <w:pPr>
        <w:spacing w:line="560" w:lineRule="exact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特此承诺！ </w:t>
      </w:r>
    </w:p>
    <w:p>
      <w:pPr>
        <w:spacing w:line="560" w:lineRule="exact"/>
        <w:ind w:firstLine="480" w:firstLineChars="200"/>
        <w:rPr>
          <w:rFonts w:hint="eastAsia" w:ascii="仿宋" w:hAnsi="仿宋" w:eastAsia="仿宋" w:cs="仿宋"/>
          <w:sz w:val="24"/>
        </w:rPr>
      </w:pPr>
    </w:p>
    <w:p>
      <w:pPr>
        <w:widowControl/>
        <w:rPr>
          <w:rFonts w:hint="eastAsia" w:ascii="仿宋" w:hAnsi="仿宋" w:eastAsia="仿宋" w:cs="仿宋"/>
          <w:b/>
          <w:sz w:val="24"/>
        </w:rPr>
      </w:pPr>
      <w:r>
        <w:rPr>
          <w:rFonts w:hint="eastAsia" w:ascii="仿宋" w:hAnsi="仿宋" w:eastAsia="仿宋" w:cs="仿宋"/>
          <w:sz w:val="24"/>
        </w:rPr>
        <w:t>供应商：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</w:t>
      </w:r>
      <w:r>
        <w:rPr>
          <w:rFonts w:hint="eastAsia" w:ascii="仿宋" w:hAnsi="仿宋" w:eastAsia="仿宋" w:cs="仿宋"/>
          <w:sz w:val="24"/>
        </w:rPr>
        <w:t>（盖章）</w:t>
      </w:r>
    </w:p>
    <w:p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法定代表人或其委托代理人：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</w:t>
      </w:r>
      <w:r>
        <w:rPr>
          <w:rFonts w:hint="eastAsia" w:ascii="仿宋" w:hAnsi="仿宋" w:eastAsia="仿宋" w:cs="仿宋"/>
          <w:sz w:val="24"/>
        </w:rPr>
        <w:t xml:space="preserve"> （签字或盖章）</w:t>
      </w:r>
    </w:p>
    <w:p>
      <w:pPr>
        <w:spacing w:line="360" w:lineRule="auto"/>
        <w:jc w:val="left"/>
        <w:outlineLvl w:val="3"/>
        <w:rPr>
          <w:rFonts w:hint="eastAsia"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sz w:val="24"/>
        </w:rPr>
        <w:t>日期：</w:t>
      </w:r>
      <w:r>
        <w:rPr>
          <w:rFonts w:hint="eastAsia" w:ascii="仿宋" w:hAnsi="仿宋" w:eastAsia="仿宋" w:cs="仿宋"/>
          <w:sz w:val="24"/>
          <w:u w:val="single"/>
        </w:rPr>
        <w:t xml:space="preserve">     </w:t>
      </w:r>
      <w:r>
        <w:rPr>
          <w:rFonts w:hint="eastAsia" w:ascii="仿宋" w:hAnsi="仿宋" w:eastAsia="仿宋" w:cs="仿宋"/>
          <w:sz w:val="24"/>
        </w:rPr>
        <w:t>年</w:t>
      </w:r>
      <w:r>
        <w:rPr>
          <w:rFonts w:hint="eastAsia" w:ascii="仿宋" w:hAnsi="仿宋" w:eastAsia="仿宋" w:cs="仿宋"/>
          <w:sz w:val="24"/>
          <w:u w:val="single"/>
        </w:rPr>
        <w:t xml:space="preserve">    </w:t>
      </w:r>
      <w:r>
        <w:rPr>
          <w:rFonts w:hint="eastAsia" w:ascii="仿宋" w:hAnsi="仿宋" w:eastAsia="仿宋" w:cs="仿宋"/>
          <w:sz w:val="24"/>
        </w:rPr>
        <w:t>月</w:t>
      </w:r>
      <w:r>
        <w:rPr>
          <w:rFonts w:hint="eastAsia" w:ascii="仿宋" w:hAnsi="仿宋" w:eastAsia="仿宋" w:cs="仿宋"/>
          <w:sz w:val="24"/>
          <w:u w:val="single"/>
        </w:rPr>
        <w:t xml:space="preserve">    </w:t>
      </w:r>
      <w:r>
        <w:rPr>
          <w:rFonts w:hint="eastAsia" w:ascii="仿宋" w:hAnsi="仿宋" w:eastAsia="仿宋" w:cs="仿宋"/>
          <w:sz w:val="24"/>
        </w:rPr>
        <w:t>日</w:t>
      </w: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bCs/>
          <w:sz w:val="28"/>
        </w:rPr>
        <w:t>附件</w:t>
      </w:r>
      <w:r>
        <w:rPr>
          <w:rFonts w:hint="eastAsia" w:ascii="仿宋" w:hAnsi="仿宋" w:eastAsia="仿宋" w:cs="仿宋"/>
          <w:b/>
          <w:bCs/>
          <w:sz w:val="28"/>
          <w:lang w:eastAsia="zh-CN"/>
        </w:rPr>
        <w:t>二</w:t>
      </w:r>
      <w:r>
        <w:rPr>
          <w:rFonts w:hint="eastAsia" w:ascii="仿宋" w:hAnsi="仿宋" w:eastAsia="仿宋" w:cs="仿宋"/>
          <w:b/>
          <w:bCs/>
          <w:sz w:val="28"/>
        </w:rPr>
        <w:t>：</w:t>
      </w:r>
    </w:p>
    <w:p>
      <w:pPr>
        <w:spacing w:line="360" w:lineRule="auto"/>
        <w:jc w:val="center"/>
        <w:outlineLvl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 xml:space="preserve">  信用承诺书</w:t>
      </w:r>
    </w:p>
    <w:p>
      <w:pPr>
        <w:pStyle w:val="16"/>
        <w:ind w:left="1260" w:firstLine="560"/>
        <w:rPr>
          <w:rFonts w:hint="eastAsia" w:ascii="仿宋" w:hAnsi="仿宋" w:eastAsia="仿宋" w:cs="仿宋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40"/>
          <w:szCs w:val="32"/>
        </w:rPr>
        <w:t xml:space="preserve">  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z w:val="24"/>
        </w:rPr>
        <w:t>我单位</w:t>
      </w:r>
      <w:r>
        <w:rPr>
          <w:rFonts w:hint="eastAsia" w:ascii="仿宋" w:hAnsi="仿宋" w:eastAsia="仿宋" w:cs="仿宋"/>
          <w:sz w:val="24"/>
          <w:u w:val="single"/>
        </w:rPr>
        <w:t xml:space="preserve">    （单位名称）     </w:t>
      </w:r>
      <w:r>
        <w:rPr>
          <w:rFonts w:hint="eastAsia" w:ascii="仿宋" w:hAnsi="仿宋" w:eastAsia="仿宋" w:cs="仿宋"/>
          <w:sz w:val="24"/>
        </w:rPr>
        <w:t>响应</w:t>
      </w:r>
      <w:r>
        <w:rPr>
          <w:rFonts w:hint="eastAsia" w:ascii="仿宋" w:hAnsi="仿宋" w:eastAsia="仿宋" w:cs="仿宋"/>
          <w:sz w:val="24"/>
          <w:u w:val="single"/>
        </w:rPr>
        <w:t xml:space="preserve">     （项目名称）      </w:t>
      </w:r>
      <w:r>
        <w:rPr>
          <w:rFonts w:hint="eastAsia" w:ascii="仿宋" w:hAnsi="仿宋" w:eastAsia="仿宋" w:cs="仿宋"/>
          <w:sz w:val="24"/>
        </w:rPr>
        <w:t>项目采购文件要求，对本单位信用情况郑重承诺如下：</w:t>
      </w:r>
    </w:p>
    <w:p>
      <w:pPr>
        <w:spacing w:line="360" w:lineRule="auto"/>
        <w:ind w:firstLine="42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截至磋商截止时间，我单位未被“信用中国” 网站（ www.creditchina.gov.cn ）、中国政府采购网（www.ccgp.gov.cn）列入失信被执行人名单、重大税收违法案件当事人名单、政府采购严重违法失信行为记录名单，未被限制参加政府采购活动。</w:t>
      </w:r>
    </w:p>
    <w:p>
      <w:pPr>
        <w:spacing w:line="360" w:lineRule="auto"/>
        <w:ind w:firstLine="42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磋商截止时间前3年内在经营活动中无重大违法记录（重大违法记录，是指供应商因违法经营受到刑事处罚或责令停产停业、吊销许可证或者执照、较大数额罚款、被列入政府采购黑名单等行政处罚）。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若我单位提供虚假承诺，我单位同意所递交的响应文件作无效处理，并愿意接受相关部门公开通报，按照有关法律法规规定接受处罚，由此造成的一切经济责任和法律责任由我单位自行承担。</w:t>
      </w:r>
    </w:p>
    <w:p>
      <w:pPr>
        <w:pStyle w:val="16"/>
        <w:ind w:left="1320" w:firstLine="480"/>
        <w:jc w:val="both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供应商：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</w:t>
      </w:r>
      <w:r>
        <w:rPr>
          <w:rFonts w:hint="eastAsia" w:ascii="仿宋" w:hAnsi="仿宋" w:eastAsia="仿宋" w:cs="仿宋"/>
          <w:sz w:val="24"/>
        </w:rPr>
        <w:t>（盖章）</w:t>
      </w:r>
    </w:p>
    <w:p>
      <w:pPr>
        <w:spacing w:before="100" w:beforeAutospacing="1" w:after="100" w:afterAutospacing="1" w:line="560" w:lineRule="exact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日 期：</w:t>
      </w:r>
      <w:r>
        <w:rPr>
          <w:rFonts w:hint="eastAsia" w:ascii="仿宋" w:hAnsi="仿宋" w:eastAsia="仿宋" w:cs="仿宋"/>
          <w:sz w:val="24"/>
          <w:u w:val="single"/>
        </w:rPr>
        <w:t xml:space="preserve">    </w:t>
      </w:r>
      <w:r>
        <w:rPr>
          <w:rFonts w:hint="eastAsia" w:ascii="仿宋" w:hAnsi="仿宋" w:eastAsia="仿宋" w:cs="仿宋"/>
          <w:sz w:val="24"/>
        </w:rPr>
        <w:t>年</w:t>
      </w:r>
      <w:r>
        <w:rPr>
          <w:rFonts w:hint="eastAsia" w:ascii="仿宋" w:hAnsi="仿宋" w:eastAsia="仿宋" w:cs="仿宋"/>
          <w:sz w:val="24"/>
          <w:u w:val="single"/>
        </w:rPr>
        <w:t xml:space="preserve">    </w:t>
      </w:r>
      <w:r>
        <w:rPr>
          <w:rFonts w:hint="eastAsia" w:ascii="仿宋" w:hAnsi="仿宋" w:eastAsia="仿宋" w:cs="仿宋"/>
          <w:sz w:val="24"/>
        </w:rPr>
        <w:t>月</w:t>
      </w:r>
      <w:r>
        <w:rPr>
          <w:rFonts w:hint="eastAsia" w:ascii="仿宋" w:hAnsi="仿宋" w:eastAsia="仿宋" w:cs="仿宋"/>
          <w:sz w:val="24"/>
          <w:u w:val="single"/>
        </w:rPr>
        <w:t xml:space="preserve">    </w:t>
      </w:r>
      <w:r>
        <w:rPr>
          <w:rFonts w:hint="eastAsia" w:ascii="仿宋" w:hAnsi="仿宋" w:eastAsia="仿宋" w:cs="仿宋"/>
          <w:sz w:val="24"/>
        </w:rPr>
        <w:t>日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ZXiaoBiaoSong-B05S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314161"/>
    <w:multiLevelType w:val="singleLevel"/>
    <w:tmpl w:val="4631416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BF380FA"/>
    <w:multiLevelType w:val="singleLevel"/>
    <w:tmpl w:val="4BF380F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DD27AAD"/>
    <w:multiLevelType w:val="multilevel"/>
    <w:tmpl w:val="5DD27AAD"/>
    <w:lvl w:ilvl="0" w:tentative="0">
      <w:start w:val="2009"/>
      <w:numFmt w:val="decimal"/>
      <w:pStyle w:val="18"/>
      <w:lvlText w:val="%1年"/>
      <w:lvlJc w:val="left"/>
      <w:pPr>
        <w:tabs>
          <w:tab w:val="left" w:pos="2085"/>
        </w:tabs>
        <w:ind w:left="2085" w:hanging="136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560"/>
        </w:tabs>
        <w:ind w:left="15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980"/>
        </w:tabs>
        <w:ind w:left="1980" w:hanging="420"/>
      </w:pPr>
    </w:lvl>
    <w:lvl w:ilvl="3" w:tentative="0">
      <w:start w:val="1"/>
      <w:numFmt w:val="decimal"/>
      <w:lvlText w:val="%4."/>
      <w:lvlJc w:val="left"/>
      <w:pPr>
        <w:tabs>
          <w:tab w:val="left" w:pos="2400"/>
        </w:tabs>
        <w:ind w:left="24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820"/>
        </w:tabs>
        <w:ind w:left="28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240"/>
        </w:tabs>
        <w:ind w:left="32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660"/>
        </w:tabs>
        <w:ind w:left="36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4080"/>
        </w:tabs>
        <w:ind w:left="40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500"/>
        </w:tabs>
        <w:ind w:left="450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xZGY2ZjU5NmExMGJkYTBmY2U3MDNlZTA3NTFiNDYifQ=="/>
  </w:docVars>
  <w:rsids>
    <w:rsidRoot w:val="00000000"/>
    <w:rsid w:val="15174F60"/>
    <w:rsid w:val="19FD74F8"/>
    <w:rsid w:val="1BB7118B"/>
    <w:rsid w:val="211C5202"/>
    <w:rsid w:val="2F8D2CE4"/>
    <w:rsid w:val="41122164"/>
    <w:rsid w:val="5ACC1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Times New Roman" w:eastAsia="宋体" w:cs="Times New Roman"/>
      <w:bCs/>
      <w:kern w:val="2"/>
      <w:sz w:val="28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line="360" w:lineRule="auto"/>
      <w:jc w:val="center"/>
      <w:outlineLvl w:val="0"/>
    </w:pPr>
    <w:rPr>
      <w:b/>
      <w:kern w:val="44"/>
      <w:sz w:val="44"/>
      <w:szCs w:val="44"/>
    </w:rPr>
  </w:style>
  <w:style w:type="paragraph" w:styleId="4">
    <w:name w:val="heading 2"/>
    <w:basedOn w:val="1"/>
    <w:next w:val="1"/>
    <w:link w:val="17"/>
    <w:qFormat/>
    <w:uiPriority w:val="0"/>
    <w:pPr>
      <w:widowControl/>
      <w:jc w:val="left"/>
      <w:outlineLvl w:val="1"/>
    </w:pPr>
    <w:rPr>
      <w:b/>
      <w:kern w:val="0"/>
      <w:sz w:val="36"/>
      <w:szCs w:val="36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  <w:rPr>
      <w:rFonts w:ascii="Times New Roman" w:hAnsi="Times New Roman" w:eastAsia="宋体"/>
    </w:rPr>
  </w:style>
  <w:style w:type="paragraph" w:styleId="5">
    <w:name w:val="Normal Indent"/>
    <w:basedOn w:val="1"/>
    <w:next w:val="1"/>
    <w:qFormat/>
    <w:uiPriority w:val="0"/>
    <w:pPr>
      <w:ind w:firstLine="420" w:firstLineChars="200"/>
    </w:pPr>
    <w:rPr>
      <w:szCs w:val="20"/>
    </w:r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Body Text"/>
    <w:basedOn w:val="1"/>
    <w:next w:val="5"/>
    <w:qFormat/>
    <w:uiPriority w:val="0"/>
    <w:rPr>
      <w:sz w:val="32"/>
      <w:szCs w:val="20"/>
    </w:rPr>
  </w:style>
  <w:style w:type="paragraph" w:styleId="8">
    <w:name w:val="Plain Text"/>
    <w:basedOn w:val="1"/>
    <w:qFormat/>
    <w:uiPriority w:val="0"/>
    <w:rPr>
      <w:rFonts w:hAnsi="Courier New"/>
      <w:bCs w:val="0"/>
      <w:sz w:val="21"/>
      <w:szCs w:val="20"/>
    </w:rPr>
  </w:style>
  <w:style w:type="paragraph" w:styleId="9">
    <w:name w:val="Body Text 2"/>
    <w:basedOn w:val="1"/>
    <w:qFormat/>
    <w:uiPriority w:val="0"/>
    <w:pPr>
      <w:spacing w:line="480" w:lineRule="exact"/>
    </w:pPr>
    <w:rPr>
      <w:rFonts w:ascii="楷体_GB2312" w:eastAsia="楷体_GB2312"/>
      <w:b/>
      <w:sz w:val="28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qFormat/>
    <w:uiPriority w:val="0"/>
    <w:rPr>
      <w:b/>
      <w:bCs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character" w:styleId="15">
    <w:name w:val="annotation reference"/>
    <w:semiHidden/>
    <w:qFormat/>
    <w:uiPriority w:val="0"/>
    <w:rPr>
      <w:rFonts w:cs="Times New Roman"/>
      <w:sz w:val="21"/>
      <w:szCs w:val="21"/>
    </w:rPr>
  </w:style>
  <w:style w:type="paragraph" w:customStyle="1" w:styleId="16">
    <w:name w:val="正文格式"/>
    <w:basedOn w:val="7"/>
    <w:qFormat/>
    <w:uiPriority w:val="0"/>
    <w:pPr>
      <w:spacing w:line="360" w:lineRule="auto"/>
      <w:ind w:firstLine="200" w:firstLineChars="200"/>
    </w:pPr>
    <w:rPr>
      <w:rFonts w:ascii="宋体" w:hAnsi="宋体"/>
      <w:szCs w:val="22"/>
    </w:rPr>
  </w:style>
  <w:style w:type="character" w:customStyle="1" w:styleId="17">
    <w:name w:val="标题 2 Char"/>
    <w:link w:val="4"/>
    <w:qFormat/>
    <w:locked/>
    <w:uiPriority w:val="0"/>
    <w:rPr>
      <w:b/>
      <w:kern w:val="0"/>
      <w:sz w:val="36"/>
      <w:szCs w:val="36"/>
    </w:rPr>
  </w:style>
  <w:style w:type="paragraph" w:customStyle="1" w:styleId="18">
    <w:name w:val="_Style 2"/>
    <w:basedOn w:val="1"/>
    <w:qFormat/>
    <w:uiPriority w:val="0"/>
    <w:pPr>
      <w:numPr>
        <w:ilvl w:val="0"/>
        <w:numId w:val="1"/>
      </w:numPr>
    </w:pPr>
  </w:style>
  <w:style w:type="paragraph" w:customStyle="1" w:styleId="19">
    <w:name w:val="Default"/>
    <w:qFormat/>
    <w:uiPriority w:val="0"/>
    <w:pPr>
      <w:widowControl w:val="0"/>
      <w:autoSpaceDE w:val="0"/>
      <w:autoSpaceDN w:val="0"/>
      <w:adjustRightInd w:val="0"/>
    </w:pPr>
    <w:rPr>
      <w:rFonts w:ascii="FZXiaoBiaoSong-B05S" w:hAnsi="Times New Roman" w:eastAsia="FZXiaoBiaoSong-B05S" w:cs="FZXiaoBiaoSong-B05S"/>
      <w:color w:val="000000"/>
      <w:sz w:val="24"/>
      <w:szCs w:val="24"/>
      <w:lang w:val="en-US" w:eastAsia="zh-CN" w:bidi="ar-SA"/>
    </w:rPr>
  </w:style>
  <w:style w:type="character" w:customStyle="1" w:styleId="20">
    <w:name w:val="样式 仿宋"/>
    <w:qFormat/>
    <w:uiPriority w:val="0"/>
    <w:rPr>
      <w:rFonts w:ascii="仿宋" w:hAnsi="仿宋" w:eastAsia="仿宋"/>
      <w:kern w:val="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3701</Words>
  <Characters>4241</Characters>
  <Lines>0</Lines>
  <Paragraphs>0</Paragraphs>
  <TotalTime>3</TotalTime>
  <ScaleCrop>false</ScaleCrop>
  <LinksUpToDate>false</LinksUpToDate>
  <CharactersWithSpaces>4421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2022-07-01T01:03:00Z</dcterms:created>
  <dc:creator>sdecu</dc:creator>
  <cp:lastModifiedBy>helen</cp:lastModifiedBy>
  <dcterms:modified xsi:type="dcterms:W3CDTF">2022-09-05T02:36:29Z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62D6B9A7F4C3402987CC3463C79D6E46</vt:lpwstr>
  </property>
</Properties>
</file>